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DED5" w14:textId="77777777" w:rsidR="00504514" w:rsidRPr="00500E8C" w:rsidRDefault="00504514" w:rsidP="00373310">
      <w:pPr>
        <w:rPr>
          <w:rFonts w:ascii="Arial" w:hAnsi="Arial" w:cs="Arial"/>
          <w:sz w:val="22"/>
          <w:szCs w:val="22"/>
        </w:rPr>
      </w:pPr>
    </w:p>
    <w:p w14:paraId="2F4FC18B" w14:textId="372F22F2" w:rsidR="00373310" w:rsidRPr="00500E8C" w:rsidRDefault="00373310" w:rsidP="00834DE6">
      <w:pPr>
        <w:rPr>
          <w:rFonts w:ascii="Arial" w:hAnsi="Arial" w:cs="Arial"/>
          <w:b/>
          <w:sz w:val="22"/>
          <w:szCs w:val="22"/>
        </w:rPr>
      </w:pPr>
      <w:r w:rsidRPr="00500E8C">
        <w:rPr>
          <w:rFonts w:ascii="Arial" w:hAnsi="Arial" w:cs="Arial"/>
          <w:sz w:val="22"/>
          <w:szCs w:val="22"/>
        </w:rPr>
        <w:t>Report form</w:t>
      </w:r>
      <w:r w:rsidR="00E84108" w:rsidRPr="00500E8C">
        <w:rPr>
          <w:rFonts w:ascii="Arial" w:hAnsi="Arial" w:cs="Arial"/>
          <w:sz w:val="22"/>
          <w:szCs w:val="22"/>
        </w:rPr>
        <w:t xml:space="preserve"> </w:t>
      </w:r>
      <w:r w:rsidRPr="00500E8C">
        <w:rPr>
          <w:rFonts w:ascii="Arial" w:hAnsi="Arial" w:cs="Arial"/>
          <w:sz w:val="22"/>
          <w:szCs w:val="22"/>
        </w:rPr>
        <w:t xml:space="preserve">for late reported test results of </w:t>
      </w:r>
      <w:r w:rsidRPr="00500E8C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500E8C">
        <w:rPr>
          <w:rFonts w:ascii="Arial" w:hAnsi="Arial" w:cs="Arial"/>
          <w:b/>
          <w:sz w:val="22"/>
          <w:szCs w:val="22"/>
        </w:rPr>
        <w:t>#</w:t>
      </w:r>
      <w:r w:rsidR="00E84108" w:rsidRPr="00500E8C">
        <w:rPr>
          <w:rFonts w:ascii="Arial" w:hAnsi="Arial" w:cs="Arial"/>
          <w:b/>
          <w:sz w:val="22"/>
          <w:szCs w:val="22"/>
        </w:rPr>
        <w:t>2</w:t>
      </w:r>
      <w:r w:rsidR="00446C26">
        <w:rPr>
          <w:rFonts w:ascii="Arial" w:hAnsi="Arial" w:cs="Arial"/>
          <w:b/>
          <w:sz w:val="22"/>
          <w:szCs w:val="22"/>
        </w:rPr>
        <w:t>3190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500E8C" w:rsidRPr="00500E8C" w14:paraId="3935F809" w14:textId="77777777" w:rsidTr="00FC1524">
        <w:trPr>
          <w:trHeight w:val="20"/>
        </w:trPr>
        <w:tc>
          <w:tcPr>
            <w:tcW w:w="2878" w:type="dxa"/>
            <w:tcBorders>
              <w:top w:val="double" w:sz="6" w:space="0" w:color="auto"/>
              <w:bottom w:val="single" w:sz="4" w:space="0" w:color="auto"/>
            </w:tcBorders>
          </w:tcPr>
          <w:p w14:paraId="02434D65" w14:textId="68449B54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51" w:type="dxa"/>
            <w:tcBorders>
              <w:top w:val="double" w:sz="6" w:space="0" w:color="auto"/>
              <w:bottom w:val="single" w:sz="4" w:space="0" w:color="auto"/>
            </w:tcBorders>
          </w:tcPr>
          <w:p w14:paraId="6AFCC5E0" w14:textId="68B41922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39" w:type="dxa"/>
            <w:tcBorders>
              <w:top w:val="double" w:sz="6" w:space="0" w:color="auto"/>
              <w:bottom w:val="single" w:sz="4" w:space="0" w:color="auto"/>
            </w:tcBorders>
          </w:tcPr>
          <w:p w14:paraId="7E400654" w14:textId="731BB283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793FC145" w14:textId="703F6F0A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5E094DB1" w14:textId="77777777" w:rsidR="0074340F" w:rsidRPr="00500E8C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9C5B252" w14:textId="25F66AC0" w:rsidR="0074340F" w:rsidRPr="00500E8C" w:rsidRDefault="0074340F" w:rsidP="0074340F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</w:tcPr>
          <w:p w14:paraId="748F5271" w14:textId="77777777" w:rsidR="0074340F" w:rsidRPr="00500E8C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95AB8F4" w14:textId="77777777" w:rsidR="0074340F" w:rsidRPr="00500E8C" w:rsidRDefault="0074340F" w:rsidP="0074340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056B3A1" w14:textId="687644E0" w:rsidR="0074340F" w:rsidRPr="00500E8C" w:rsidRDefault="0074340F" w:rsidP="0074340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500E8C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0E8C" w:rsidRPr="00500E8C" w14:paraId="782F72D4" w14:textId="77777777" w:rsidTr="00FC1524">
        <w:trPr>
          <w:trHeight w:hRule="exact" w:val="567"/>
        </w:trPr>
        <w:tc>
          <w:tcPr>
            <w:tcW w:w="2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084559" w14:textId="77777777" w:rsidR="00911A39" w:rsidRPr="00500E8C" w:rsidRDefault="0074340F" w:rsidP="000011E5">
            <w:pPr>
              <w:rPr>
                <w:rFonts w:ascii="Arial" w:hAnsi="Arial" w:cs="Arial"/>
                <w:sz w:val="20"/>
                <w:lang w:val="en-US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Acidity as Acetic Acid</w:t>
            </w:r>
            <w:r w:rsidRPr="00500E8C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66795539" w14:textId="1A592646" w:rsidR="0074340F" w:rsidRPr="00500E8C" w:rsidRDefault="00911A39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74340F" w:rsidRPr="00500E8C">
              <w:rPr>
                <w:rFonts w:ascii="Arial" w:hAnsi="Arial" w:cs="Arial"/>
                <w:sz w:val="20"/>
                <w:lang w:val="en-US"/>
              </w:rPr>
              <w:t>ASTM E2679</w:t>
            </w:r>
            <w:r w:rsidRPr="00500E8C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7516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A091A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E2679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BDE86" w14:textId="04F4AE79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47760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4564C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000FC97C" w14:textId="77777777" w:rsidTr="00FC1524">
        <w:trPr>
          <w:trHeight w:hRule="exact" w:val="567"/>
        </w:trPr>
        <w:tc>
          <w:tcPr>
            <w:tcW w:w="2878" w:type="dxa"/>
            <w:shd w:val="clear" w:color="auto" w:fill="auto"/>
            <w:vAlign w:val="center"/>
          </w:tcPr>
          <w:p w14:paraId="34E6E86A" w14:textId="77777777" w:rsidR="00911A39" w:rsidRPr="00500E8C" w:rsidRDefault="0074340F" w:rsidP="000011E5">
            <w:pPr>
              <w:rPr>
                <w:rFonts w:ascii="Arial" w:hAnsi="Arial" w:cs="Arial"/>
                <w:sz w:val="20"/>
                <w:lang w:val="en-US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 xml:space="preserve">Acidity as Acetic Acid </w:t>
            </w:r>
            <w:r w:rsidRPr="00500E8C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4F552B52" w14:textId="062FE5EC" w:rsidR="0074340F" w:rsidRPr="00500E8C" w:rsidRDefault="00911A39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74340F" w:rsidRPr="00500E8C">
              <w:rPr>
                <w:rFonts w:ascii="Arial" w:hAnsi="Arial" w:cs="Arial"/>
                <w:sz w:val="20"/>
                <w:lang w:val="en-US"/>
              </w:rPr>
              <w:t>ASTM D1613</w:t>
            </w:r>
            <w:r w:rsidRPr="00500E8C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16BCFD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0105565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D1613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DA9070B" w14:textId="39D6053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87FF482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EBF3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69984115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8B1456D" w14:textId="77777777" w:rsidR="0074340F" w:rsidRPr="00500E8C" w:rsidRDefault="0074340F" w:rsidP="000011E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Aldehydes as Acetaldehyde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3C16D5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E8BBAAD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E2313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1858187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9C6C320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59388D7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257CE9B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105B293" w14:textId="77777777" w:rsidR="0074340F" w:rsidRPr="00500E8C" w:rsidRDefault="0074340F" w:rsidP="000011E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Appearance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2A0731E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06D04D8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5F75C2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6358285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DDD150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695981DC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441DE2AC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Ash content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98DC33D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E87E46F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D482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E535808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E64FF5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3A4EE60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194C4F73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9D7BC79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Inorganic Chloride as Cl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46648D8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056CF8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E2469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2325284" w14:textId="6292DDBA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F94657F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B06A74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127166F1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1F909D89" w14:textId="360336E9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00E8C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500E8C">
              <w:rPr>
                <w:rFonts w:ascii="Arial" w:hAnsi="Arial" w:cs="Arial"/>
                <w:sz w:val="20"/>
                <w:lang w:val="en-GB"/>
              </w:rPr>
              <w:t xml:space="preserve"> Pt/Co 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CE1301">
              <w:rPr>
                <w:rFonts w:ascii="Arial" w:hAnsi="Arial" w:cs="Arial"/>
                <w:sz w:val="20"/>
                <w:lang w:val="en-US"/>
              </w:rPr>
              <w:t>m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anual)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9F85170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658DFCD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D1209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A8E7218" w14:textId="3751251A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BBEC84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56D7013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1323BCB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2386DD75" w14:textId="23F7E09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00E8C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500E8C">
              <w:rPr>
                <w:rFonts w:ascii="Arial" w:hAnsi="Arial" w:cs="Arial"/>
                <w:sz w:val="20"/>
                <w:lang w:val="en-GB"/>
              </w:rPr>
              <w:t xml:space="preserve"> Pt/Co</w:t>
            </w:r>
            <w:r w:rsidRPr="00500E8C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(</w:t>
            </w:r>
            <w:r w:rsidR="00CE1301">
              <w:rPr>
                <w:rFonts w:ascii="Arial" w:hAnsi="Arial" w:cs="Arial"/>
                <w:sz w:val="20"/>
                <w:lang w:val="en-US"/>
              </w:rPr>
              <w:t>a</w:t>
            </w:r>
            <w:r w:rsidR="00911A39" w:rsidRPr="00500E8C">
              <w:rPr>
                <w:rFonts w:ascii="Arial" w:hAnsi="Arial" w:cs="Arial"/>
                <w:sz w:val="20"/>
                <w:lang w:val="en-US"/>
              </w:rPr>
              <w:t>utomated)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7EA83EF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AD424AA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D5386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78F7A7B" w14:textId="3F092BF0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65A89A9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A601573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517AF16A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D0A7298" w14:textId="776FD61F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Density at 20</w:t>
            </w:r>
            <w:r w:rsidR="00CE130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DB1612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3EA9D1D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A9A1CA8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54A1891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69D7414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26B5BCFD" w14:textId="77777777" w:rsidTr="00FC1524">
        <w:trPr>
          <w:trHeight w:hRule="exact" w:val="340"/>
        </w:trPr>
        <w:tc>
          <w:tcPr>
            <w:tcW w:w="28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8C5AA7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Diethylene Glycol</w:t>
            </w:r>
          </w:p>
        </w:tc>
        <w:tc>
          <w:tcPr>
            <w:tcW w:w="11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7EAF21" w14:textId="77777777" w:rsidR="0074340F" w:rsidRPr="00500E8C" w:rsidRDefault="0074340F" w:rsidP="000011E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116592" w14:textId="77777777" w:rsidR="0074340F" w:rsidRPr="00500E8C" w:rsidRDefault="0074340F" w:rsidP="000011E5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E2409</w:t>
            </w: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72710C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67BF7C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29E7FE" w14:textId="77777777" w:rsidR="0074340F" w:rsidRPr="00500E8C" w:rsidRDefault="0074340F" w:rsidP="000011E5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34B3CD6C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51FF4DA" w14:textId="7636D205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b/>
                <w:sz w:val="20"/>
              </w:rPr>
              <w:t>Distillation Mode</w:t>
            </w:r>
          </w:p>
        </w:tc>
        <w:tc>
          <w:tcPr>
            <w:tcW w:w="676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24964FB" w14:textId="30025F38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68724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CE1301" w:rsidRPr="00500E8C" w14:paraId="09ED23CF" w14:textId="77777777" w:rsidTr="00FC1524">
        <w:trPr>
          <w:trHeight w:hRule="exact" w:val="340"/>
        </w:trPr>
        <w:tc>
          <w:tcPr>
            <w:tcW w:w="28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DC72B6" w14:textId="44E2F8F2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Initial Boiling Point</w:t>
            </w:r>
          </w:p>
        </w:tc>
        <w:tc>
          <w:tcPr>
            <w:tcW w:w="11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299F16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C8E948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AA4446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0A1875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5910F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1428C13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69837FA2" w14:textId="73AD9507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50% recovered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4C455F8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230F6B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B134D51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E8A0746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045E32C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7D21B9E9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7A881CBC" w14:textId="27432D92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Dry Point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2C35FBF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3D13C1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D1078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3E2BA622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B914A15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FD3D866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2E0DA87C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53A4A661" w14:textId="76A9D285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8FC7DA" w14:textId="0AE74124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CF2F6A0" w14:textId="4C5DEE2F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E1615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FEC187D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F744E60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BEF7FF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42D3367E" w14:textId="77777777" w:rsidTr="00FC1524">
        <w:trPr>
          <w:trHeight w:hRule="exact" w:val="567"/>
        </w:trPr>
        <w:tc>
          <w:tcPr>
            <w:tcW w:w="2878" w:type="dxa"/>
            <w:shd w:val="clear" w:color="auto" w:fill="auto"/>
            <w:vAlign w:val="center"/>
          </w:tcPr>
          <w:p w14:paraId="11E61F67" w14:textId="25C69A3C" w:rsidR="00CE1301" w:rsidRPr="00500E8C" w:rsidRDefault="00CE1301" w:rsidP="00CE1301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Water m</w:t>
            </w:r>
            <w:r w:rsidRPr="00500E8C">
              <w:rPr>
                <w:rFonts w:ascii="Arial" w:hAnsi="Arial" w:cs="Arial"/>
                <w:sz w:val="20"/>
              </w:rPr>
              <w:t>iscibility (Hydrocarbons)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444F5A5B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4A27C8" w14:textId="31D7247E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3EE4EB83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F2BE1D8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018412D5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21A10910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BDE53B2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Purity by GC as received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B3DA363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%M/M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6B1F0FE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53772CE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E031BC0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84C4932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4CEB8C94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39E57511" w14:textId="45F2481E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Specific Gravity 20/20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500E8C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32C8E73E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05BF5BC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E202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2EF20B0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AC5CF49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1AE0B12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CE1301" w:rsidRPr="00500E8C" w14:paraId="3206C42D" w14:textId="77777777" w:rsidTr="00FC1524">
        <w:trPr>
          <w:trHeight w:hRule="exact" w:val="340"/>
        </w:trPr>
        <w:tc>
          <w:tcPr>
            <w:tcW w:w="2878" w:type="dxa"/>
            <w:shd w:val="clear" w:color="auto" w:fill="auto"/>
            <w:vAlign w:val="center"/>
          </w:tcPr>
          <w:p w14:paraId="037CD7D8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Water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7713748" w14:textId="77777777" w:rsidR="00CE1301" w:rsidRPr="00500E8C" w:rsidRDefault="00CE1301" w:rsidP="00CE1301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D62BFBC" w14:textId="77777777" w:rsidR="00CE1301" w:rsidRPr="00500E8C" w:rsidRDefault="00CE1301" w:rsidP="00CE1301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E1064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06295CB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1196861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76C6570F" w14:textId="77777777" w:rsidR="00CE1301" w:rsidRPr="00500E8C" w:rsidRDefault="00CE1301" w:rsidP="00CE130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01B7E4CD" w14:textId="77777777" w:rsidR="00446C26" w:rsidRDefault="00804014" w:rsidP="00804014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446C26">
        <w:rPr>
          <w:rFonts w:ascii="Arial" w:hAnsi="Arial" w:cs="Arial"/>
          <w:sz w:val="20"/>
        </w:rPr>
        <w:t>Please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>see</w:t>
      </w:r>
      <w:r w:rsidR="00446C26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446C26">
        <w:rPr>
          <w:rFonts w:ascii="Arial" w:hAnsi="Arial" w:cs="Arial"/>
          <w:sz w:val="20"/>
        </w:rPr>
        <w:t>tests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 xml:space="preserve">at </w:t>
      </w:r>
      <w:hyperlink r:id="rId8" w:history="1">
        <w:r w:rsidR="00446C2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5A2BE9D" w14:textId="494F4932" w:rsidR="00804014" w:rsidRPr="00C36E82" w:rsidRDefault="00804014" w:rsidP="0080401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0E5274AB" w:rsidR="00E84108" w:rsidRPr="00500E8C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C528DB4" w14:textId="5C69BEF5" w:rsidR="00B401C3" w:rsidRDefault="00B401C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FCFA42E" w14:textId="77777777" w:rsidR="00504514" w:rsidRPr="00500E8C" w:rsidRDefault="00504514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CC94ED" w14:textId="77777777" w:rsidR="008E23FF" w:rsidRPr="00500E8C" w:rsidRDefault="008E23FF" w:rsidP="008E23FF">
      <w:pPr>
        <w:rPr>
          <w:b/>
          <w:bCs/>
          <w:sz w:val="22"/>
          <w:szCs w:val="22"/>
        </w:rPr>
      </w:pPr>
      <w:r w:rsidRPr="00500E8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1C92EDA5" w14:textId="77777777" w:rsidR="00E84108" w:rsidRPr="00500E8C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500E8C" w:rsidRDefault="00886F77" w:rsidP="00886F77">
      <w:pPr>
        <w:rPr>
          <w:lang w:val="en-US"/>
        </w:rPr>
      </w:pPr>
      <w:r w:rsidRPr="00500E8C">
        <w:rPr>
          <w:lang w:val="en-US"/>
        </w:rPr>
        <w:br w:type="page"/>
      </w:r>
    </w:p>
    <w:p w14:paraId="418EC4AA" w14:textId="3BDA571F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9841AA0" w:rsidR="00975C1C" w:rsidRPr="00500E8C" w:rsidRDefault="00975C1C" w:rsidP="00975C1C">
      <w:pPr>
        <w:rPr>
          <w:rFonts w:ascii="Arial" w:hAnsi="Arial" w:cs="Arial"/>
          <w:b/>
          <w:sz w:val="22"/>
          <w:szCs w:val="22"/>
        </w:rPr>
      </w:pPr>
      <w:r w:rsidRPr="00500E8C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500E8C">
        <w:rPr>
          <w:rFonts w:ascii="Arial" w:hAnsi="Arial" w:cs="Arial"/>
          <w:b/>
          <w:bCs/>
          <w:sz w:val="22"/>
          <w:szCs w:val="22"/>
        </w:rPr>
        <w:t>sample</w:t>
      </w:r>
      <w:r w:rsidRPr="00500E8C">
        <w:rPr>
          <w:rFonts w:ascii="Arial" w:hAnsi="Arial" w:cs="Arial"/>
          <w:sz w:val="22"/>
          <w:szCs w:val="22"/>
        </w:rPr>
        <w:t xml:space="preserve"> </w:t>
      </w:r>
      <w:r w:rsidRPr="00500E8C">
        <w:rPr>
          <w:rFonts w:ascii="Arial" w:hAnsi="Arial" w:cs="Arial"/>
          <w:b/>
          <w:sz w:val="22"/>
          <w:szCs w:val="22"/>
        </w:rPr>
        <w:t>#</w:t>
      </w:r>
      <w:r w:rsidR="00446C26">
        <w:rPr>
          <w:rFonts w:ascii="Arial" w:hAnsi="Arial" w:cs="Arial"/>
          <w:b/>
          <w:sz w:val="22"/>
          <w:szCs w:val="22"/>
        </w:rPr>
        <w:t>23191</w:t>
      </w:r>
    </w:p>
    <w:p w14:paraId="4263B025" w14:textId="05694C85" w:rsidR="0074340F" w:rsidRPr="00500E8C" w:rsidRDefault="0074340F" w:rsidP="00975C1C">
      <w:pPr>
        <w:rPr>
          <w:rFonts w:ascii="Arial" w:hAnsi="Arial" w:cs="Arial"/>
          <w:b/>
          <w:sz w:val="22"/>
          <w:szCs w:val="22"/>
        </w:rPr>
      </w:pPr>
    </w:p>
    <w:p w14:paraId="33A92BF6" w14:textId="77777777" w:rsidR="0074340F" w:rsidRPr="00500E8C" w:rsidRDefault="0074340F" w:rsidP="00975C1C">
      <w:pPr>
        <w:rPr>
          <w:rFonts w:ascii="Arial" w:hAnsi="Arial" w:cs="Arial"/>
          <w:b/>
          <w:sz w:val="22"/>
          <w:szCs w:val="22"/>
        </w:rPr>
      </w:pPr>
    </w:p>
    <w:p w14:paraId="2C6CD7CD" w14:textId="77777777" w:rsidR="0074340F" w:rsidRPr="00500E8C" w:rsidRDefault="0074340F" w:rsidP="0074340F">
      <w:pPr>
        <w:spacing w:after="60"/>
        <w:ind w:right="-567"/>
        <w:rPr>
          <w:rFonts w:ascii="Arial" w:hAnsi="Arial" w:cs="Arial"/>
          <w:sz w:val="22"/>
          <w:szCs w:val="22"/>
          <w:lang w:val="en-GB"/>
        </w:rPr>
      </w:pPr>
      <w:r w:rsidRPr="00500E8C">
        <w:rPr>
          <w:rFonts w:ascii="Arial" w:hAnsi="Arial" w:cs="Arial"/>
          <w:b/>
          <w:sz w:val="22"/>
          <w:szCs w:val="22"/>
          <w:lang w:val="en-GB"/>
        </w:rPr>
        <w:t>Nitrogen sparging of the sample</w:t>
      </w:r>
      <w:r w:rsidRPr="00500E8C">
        <w:rPr>
          <w:rFonts w:ascii="Arial" w:hAnsi="Arial" w:cs="Arial"/>
          <w:sz w:val="22"/>
          <w:szCs w:val="22"/>
          <w:lang w:val="en-GB"/>
        </w:rPr>
        <w:t xml:space="preserve"> (Option A of ASTM E2193) 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500E8C" w:rsidRPr="00500E8C" w14:paraId="50009749" w14:textId="77777777" w:rsidTr="00804014">
        <w:trPr>
          <w:trHeight w:val="20"/>
        </w:trPr>
        <w:tc>
          <w:tcPr>
            <w:tcW w:w="2878" w:type="dxa"/>
            <w:tcBorders>
              <w:top w:val="double" w:sz="6" w:space="0" w:color="auto"/>
              <w:bottom w:val="single" w:sz="4" w:space="0" w:color="auto"/>
            </w:tcBorders>
          </w:tcPr>
          <w:p w14:paraId="669FA49F" w14:textId="35EADE04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51" w:type="dxa"/>
            <w:tcBorders>
              <w:top w:val="double" w:sz="6" w:space="0" w:color="auto"/>
              <w:bottom w:val="single" w:sz="4" w:space="0" w:color="auto"/>
            </w:tcBorders>
          </w:tcPr>
          <w:p w14:paraId="157B4520" w14:textId="4ADCA99C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39" w:type="dxa"/>
            <w:tcBorders>
              <w:top w:val="double" w:sz="6" w:space="0" w:color="auto"/>
              <w:bottom w:val="single" w:sz="4" w:space="0" w:color="auto"/>
            </w:tcBorders>
          </w:tcPr>
          <w:p w14:paraId="35179C8A" w14:textId="1D478925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65DD31A6" w14:textId="2E30F38E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0" w:type="dxa"/>
            <w:tcBorders>
              <w:top w:val="double" w:sz="6" w:space="0" w:color="auto"/>
              <w:bottom w:val="single" w:sz="4" w:space="0" w:color="auto"/>
            </w:tcBorders>
          </w:tcPr>
          <w:p w14:paraId="3C72ACF1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9215DC4" w14:textId="1661757E" w:rsidR="00061D6A" w:rsidRPr="00500E8C" w:rsidRDefault="00061D6A" w:rsidP="00061D6A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</w:tcPr>
          <w:p w14:paraId="75D88F53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FF623C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0171154" w14:textId="53684DAB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500E8C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0E8C" w:rsidRPr="00500E8C" w14:paraId="1B1953F9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41B8A835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Cuvette size **)</w:t>
            </w:r>
          </w:p>
        </w:tc>
        <w:tc>
          <w:tcPr>
            <w:tcW w:w="1151" w:type="dxa"/>
            <w:vAlign w:val="center"/>
          </w:tcPr>
          <w:p w14:paraId="6419C72D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mm</w:t>
            </w:r>
          </w:p>
        </w:tc>
        <w:tc>
          <w:tcPr>
            <w:tcW w:w="1439" w:type="dxa"/>
            <w:vAlign w:val="center"/>
          </w:tcPr>
          <w:p w14:paraId="4BFB05F4" w14:textId="77777777" w:rsidR="00061D6A" w:rsidRPr="00500E8C" w:rsidRDefault="00061D6A" w:rsidP="008A40F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78203E19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7FB4AD5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4E7289B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6CBB824C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35B736EC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350 nm</w:t>
            </w:r>
          </w:p>
        </w:tc>
        <w:tc>
          <w:tcPr>
            <w:tcW w:w="1151" w:type="dxa"/>
            <w:vAlign w:val="center"/>
          </w:tcPr>
          <w:p w14:paraId="50C2CFCE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5CAAE408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22FAEAB6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F0B1FDD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38D2094C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3794DB5D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708287B5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275 nm</w:t>
            </w:r>
          </w:p>
        </w:tc>
        <w:tc>
          <w:tcPr>
            <w:tcW w:w="1151" w:type="dxa"/>
            <w:vAlign w:val="center"/>
          </w:tcPr>
          <w:p w14:paraId="5A9D0C62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55F0FF84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198744B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7564118B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1B02055F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09BFDA19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64B04E0F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250 nm</w:t>
            </w:r>
          </w:p>
        </w:tc>
        <w:tc>
          <w:tcPr>
            <w:tcW w:w="1151" w:type="dxa"/>
            <w:vAlign w:val="center"/>
          </w:tcPr>
          <w:p w14:paraId="5AAF7608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184FEFEB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4DB3CA2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055E6A4C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1220A753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4D5108B8" w14:textId="77777777" w:rsidTr="00804014">
        <w:trPr>
          <w:trHeight w:hRule="exact" w:val="340"/>
        </w:trPr>
        <w:tc>
          <w:tcPr>
            <w:tcW w:w="2878" w:type="dxa"/>
            <w:vAlign w:val="center"/>
          </w:tcPr>
          <w:p w14:paraId="201E9460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220 nm</w:t>
            </w:r>
          </w:p>
        </w:tc>
        <w:tc>
          <w:tcPr>
            <w:tcW w:w="1151" w:type="dxa"/>
            <w:vAlign w:val="center"/>
          </w:tcPr>
          <w:p w14:paraId="502EEF8E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39" w:type="dxa"/>
            <w:vAlign w:val="center"/>
          </w:tcPr>
          <w:p w14:paraId="33A8FBC5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90" w:type="dxa"/>
            <w:vAlign w:val="center"/>
          </w:tcPr>
          <w:p w14:paraId="74CF7E9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0" w:type="dxa"/>
            <w:vAlign w:val="center"/>
          </w:tcPr>
          <w:p w14:paraId="573878BD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91" w:type="dxa"/>
            <w:vAlign w:val="center"/>
          </w:tcPr>
          <w:p w14:paraId="2C7CDDAD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6A4BB55B" w14:textId="77777777" w:rsidR="00446C26" w:rsidRDefault="00804014" w:rsidP="00446C26">
      <w:pPr>
        <w:tabs>
          <w:tab w:val="left" w:pos="0"/>
          <w:tab w:val="right" w:pos="8222"/>
        </w:tabs>
        <w:ind w:left="284" w:hanging="284"/>
        <w:rPr>
          <w:rStyle w:val="Hyperlink"/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</w:rPr>
        <w:t>*)</w:t>
      </w:r>
      <w:r w:rsidRPr="00500E8C">
        <w:rPr>
          <w:rFonts w:ascii="Arial" w:hAnsi="Arial" w:cs="Arial"/>
          <w:sz w:val="20"/>
        </w:rPr>
        <w:tab/>
      </w:r>
      <w:r w:rsidR="00446C26">
        <w:rPr>
          <w:rFonts w:ascii="Arial" w:hAnsi="Arial" w:cs="Arial"/>
          <w:sz w:val="20"/>
        </w:rPr>
        <w:t>Please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>see</w:t>
      </w:r>
      <w:r w:rsidR="00446C26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446C26">
        <w:rPr>
          <w:rFonts w:ascii="Arial" w:hAnsi="Arial" w:cs="Arial"/>
          <w:sz w:val="20"/>
        </w:rPr>
        <w:t>tests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 xml:space="preserve">at </w:t>
      </w:r>
      <w:hyperlink r:id="rId9" w:history="1">
        <w:r w:rsidR="00446C2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6B57335" w14:textId="0225416D" w:rsidR="00804014" w:rsidRPr="00500E8C" w:rsidRDefault="00804014" w:rsidP="00446C26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  <w:lang w:val="en-GB"/>
        </w:rPr>
        <w:t>**)</w:t>
      </w:r>
      <w:r w:rsidRPr="00500E8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500E8C">
        <w:rPr>
          <w:rFonts w:ascii="Arial" w:hAnsi="Arial" w:cs="Arial"/>
          <w:sz w:val="20"/>
          <w:lang w:val="en-GB"/>
        </w:rPr>
        <w:t>In case you have the option to use by routine in your daily samples both cuvette sizes (10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as well as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mm), please preferably report the test result of the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cuvette size</w:t>
      </w:r>
    </w:p>
    <w:p w14:paraId="26043239" w14:textId="7C084532" w:rsidR="00E84108" w:rsidRPr="00804014" w:rsidRDefault="00E84108" w:rsidP="00454D3A">
      <w:pPr>
        <w:rPr>
          <w:sz w:val="22"/>
          <w:szCs w:val="22"/>
          <w:lang w:val="en-GB"/>
        </w:rPr>
      </w:pPr>
    </w:p>
    <w:p w14:paraId="64537E48" w14:textId="72207861" w:rsidR="0074340F" w:rsidRPr="00500E8C" w:rsidRDefault="0074340F" w:rsidP="00454D3A">
      <w:pPr>
        <w:rPr>
          <w:sz w:val="22"/>
          <w:szCs w:val="22"/>
        </w:rPr>
      </w:pPr>
    </w:p>
    <w:p w14:paraId="66D1603F" w14:textId="77777777" w:rsidR="0074340F" w:rsidRPr="00500E8C" w:rsidRDefault="0074340F" w:rsidP="0074340F">
      <w:pPr>
        <w:tabs>
          <w:tab w:val="left" w:pos="720"/>
          <w:tab w:val="left" w:pos="3402"/>
        </w:tabs>
        <w:spacing w:after="60"/>
        <w:outlineLvl w:val="0"/>
        <w:rPr>
          <w:rFonts w:ascii="Arial" w:hAnsi="Arial" w:cs="Arial"/>
          <w:sz w:val="22"/>
          <w:szCs w:val="22"/>
          <w:lang w:val="en-GB"/>
        </w:rPr>
      </w:pPr>
      <w:r w:rsidRPr="00500E8C">
        <w:rPr>
          <w:rFonts w:ascii="Arial" w:hAnsi="Arial" w:cs="Arial"/>
          <w:b/>
          <w:sz w:val="22"/>
          <w:szCs w:val="22"/>
          <w:lang w:val="en-GB"/>
        </w:rPr>
        <w:t xml:space="preserve">No nitrogen sparging </w:t>
      </w:r>
      <w:r w:rsidRPr="00500E8C">
        <w:rPr>
          <w:rFonts w:ascii="Arial" w:hAnsi="Arial" w:cs="Arial"/>
          <w:sz w:val="22"/>
          <w:szCs w:val="22"/>
          <w:lang w:val="en-GB"/>
        </w:rPr>
        <w:t>(Option B of ASTM E2193)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78"/>
        <w:gridCol w:w="1151"/>
        <w:gridCol w:w="1439"/>
        <w:gridCol w:w="1390"/>
        <w:gridCol w:w="1390"/>
        <w:gridCol w:w="1391"/>
      </w:tblGrid>
      <w:tr w:rsidR="00500E8C" w:rsidRPr="00500E8C" w14:paraId="733E881B" w14:textId="77777777" w:rsidTr="00FC1524">
        <w:trPr>
          <w:trHeight w:val="20"/>
        </w:trPr>
        <w:tc>
          <w:tcPr>
            <w:tcW w:w="2835" w:type="dxa"/>
            <w:tcBorders>
              <w:top w:val="double" w:sz="6" w:space="0" w:color="auto"/>
              <w:bottom w:val="single" w:sz="4" w:space="0" w:color="auto"/>
            </w:tcBorders>
          </w:tcPr>
          <w:p w14:paraId="09664A33" w14:textId="54214706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34393CED" w14:textId="1317E4FB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</w:tcPr>
          <w:p w14:paraId="12E324FF" w14:textId="33D8BCBF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2F0EF665" w14:textId="19FD974F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70" w:type="dxa"/>
            <w:tcBorders>
              <w:top w:val="double" w:sz="6" w:space="0" w:color="auto"/>
              <w:bottom w:val="single" w:sz="4" w:space="0" w:color="auto"/>
            </w:tcBorders>
          </w:tcPr>
          <w:p w14:paraId="641B3DF8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483DFE8" w14:textId="04254E94" w:rsidR="00061D6A" w:rsidRPr="00500E8C" w:rsidRDefault="00061D6A" w:rsidP="00061D6A">
            <w:pPr>
              <w:ind w:right="-71"/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71" w:type="dxa"/>
            <w:tcBorders>
              <w:top w:val="double" w:sz="6" w:space="0" w:color="auto"/>
              <w:bottom w:val="single" w:sz="4" w:space="0" w:color="auto"/>
            </w:tcBorders>
          </w:tcPr>
          <w:p w14:paraId="24020070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BD77F4F" w14:textId="77777777" w:rsidR="00061D6A" w:rsidRPr="00500E8C" w:rsidRDefault="00061D6A" w:rsidP="00061D6A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500E8C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231956E" w14:textId="153BE380" w:rsidR="00061D6A" w:rsidRPr="00500E8C" w:rsidRDefault="00061D6A" w:rsidP="00061D6A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00E8C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500E8C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00E8C" w:rsidRPr="00500E8C" w14:paraId="49EDFBAD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40F86A6C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Cuvette size **)</w:t>
            </w:r>
          </w:p>
        </w:tc>
        <w:tc>
          <w:tcPr>
            <w:tcW w:w="1134" w:type="dxa"/>
            <w:vAlign w:val="center"/>
          </w:tcPr>
          <w:p w14:paraId="15177965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mm</w:t>
            </w:r>
          </w:p>
        </w:tc>
        <w:tc>
          <w:tcPr>
            <w:tcW w:w="1418" w:type="dxa"/>
            <w:vAlign w:val="center"/>
          </w:tcPr>
          <w:p w14:paraId="4098C818" w14:textId="77777777" w:rsidR="00061D6A" w:rsidRPr="00500E8C" w:rsidRDefault="00061D6A" w:rsidP="008A40F4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4041279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E98DB1F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691AF320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265B6B8F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49DCE8A6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350 nm</w:t>
            </w:r>
          </w:p>
        </w:tc>
        <w:tc>
          <w:tcPr>
            <w:tcW w:w="1134" w:type="dxa"/>
            <w:vAlign w:val="center"/>
          </w:tcPr>
          <w:p w14:paraId="3AD6091D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40286B16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69A104C1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6140512E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7B772F38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035F84B9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1C3A1C4D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275 nm</w:t>
            </w:r>
          </w:p>
        </w:tc>
        <w:tc>
          <w:tcPr>
            <w:tcW w:w="1134" w:type="dxa"/>
            <w:vAlign w:val="center"/>
          </w:tcPr>
          <w:p w14:paraId="7C5C7728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02543AC9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745FF13B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FB657D4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31542015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5EA652F3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02735E70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250 nm</w:t>
            </w:r>
          </w:p>
        </w:tc>
        <w:tc>
          <w:tcPr>
            <w:tcW w:w="1134" w:type="dxa"/>
            <w:vAlign w:val="center"/>
          </w:tcPr>
          <w:p w14:paraId="1EFAAF21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121D4090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074287F1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1E65E1CC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4594204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00E8C" w:rsidRPr="00500E8C" w14:paraId="52286CB3" w14:textId="77777777" w:rsidTr="00FC1524">
        <w:trPr>
          <w:trHeight w:hRule="exact" w:val="340"/>
        </w:trPr>
        <w:tc>
          <w:tcPr>
            <w:tcW w:w="2835" w:type="dxa"/>
            <w:vAlign w:val="center"/>
          </w:tcPr>
          <w:p w14:paraId="2DC91F5A" w14:textId="77777777" w:rsidR="00061D6A" w:rsidRPr="00500E8C" w:rsidRDefault="00061D6A" w:rsidP="008A40F4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UV transmittance at 220 nm</w:t>
            </w:r>
          </w:p>
        </w:tc>
        <w:tc>
          <w:tcPr>
            <w:tcW w:w="1134" w:type="dxa"/>
            <w:vAlign w:val="center"/>
          </w:tcPr>
          <w:p w14:paraId="17C488D4" w14:textId="77777777" w:rsidR="00061D6A" w:rsidRPr="00500E8C" w:rsidRDefault="00061D6A" w:rsidP="008A40F4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%T</w:t>
            </w:r>
          </w:p>
        </w:tc>
        <w:tc>
          <w:tcPr>
            <w:tcW w:w="1418" w:type="dxa"/>
            <w:vAlign w:val="center"/>
          </w:tcPr>
          <w:p w14:paraId="69C1EB47" w14:textId="77777777" w:rsidR="00061D6A" w:rsidRPr="00500E8C" w:rsidRDefault="00061D6A" w:rsidP="008A40F4">
            <w:pPr>
              <w:rPr>
                <w:rFonts w:ascii="Arial" w:hAnsi="Arial" w:cs="Arial"/>
                <w:sz w:val="20"/>
                <w:lang w:val="en-GB"/>
              </w:rPr>
            </w:pPr>
            <w:r w:rsidRPr="00500E8C">
              <w:rPr>
                <w:rFonts w:ascii="Arial" w:hAnsi="Arial" w:cs="Arial"/>
                <w:sz w:val="20"/>
                <w:lang w:val="en-GB"/>
              </w:rPr>
              <w:t>E2193</w:t>
            </w:r>
          </w:p>
        </w:tc>
        <w:tc>
          <w:tcPr>
            <w:tcW w:w="1370" w:type="dxa"/>
            <w:vAlign w:val="center"/>
          </w:tcPr>
          <w:p w14:paraId="4F6C00D2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0" w:type="dxa"/>
            <w:vAlign w:val="center"/>
          </w:tcPr>
          <w:p w14:paraId="7D68660E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71" w:type="dxa"/>
            <w:vAlign w:val="center"/>
          </w:tcPr>
          <w:p w14:paraId="29202B43" w14:textId="77777777" w:rsidR="00061D6A" w:rsidRPr="00500E8C" w:rsidRDefault="00061D6A" w:rsidP="008A40F4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4334BC50" w14:textId="77777777" w:rsidR="00446C26" w:rsidRDefault="0074340F" w:rsidP="00446C26">
      <w:pPr>
        <w:tabs>
          <w:tab w:val="left" w:pos="0"/>
          <w:tab w:val="right" w:pos="8222"/>
        </w:tabs>
        <w:ind w:left="284" w:hanging="284"/>
        <w:rPr>
          <w:rStyle w:val="Hyperlink"/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</w:rPr>
        <w:t>*)</w:t>
      </w:r>
      <w:r w:rsidRPr="00500E8C">
        <w:rPr>
          <w:rFonts w:ascii="Arial" w:hAnsi="Arial" w:cs="Arial"/>
          <w:sz w:val="20"/>
        </w:rPr>
        <w:tab/>
      </w:r>
      <w:r w:rsidR="00446C26">
        <w:rPr>
          <w:rFonts w:ascii="Arial" w:hAnsi="Arial" w:cs="Arial"/>
          <w:sz w:val="20"/>
        </w:rPr>
        <w:t>Please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>see</w:t>
      </w:r>
      <w:r w:rsidR="00446C26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446C26">
        <w:rPr>
          <w:rFonts w:ascii="Arial" w:hAnsi="Arial" w:cs="Arial"/>
          <w:sz w:val="20"/>
        </w:rPr>
        <w:t>tests</w:t>
      </w:r>
      <w:r w:rsidR="00446C26" w:rsidRPr="00504C73">
        <w:rPr>
          <w:rFonts w:ascii="Arial" w:hAnsi="Arial" w:cs="Arial"/>
          <w:sz w:val="20"/>
        </w:rPr>
        <w:t xml:space="preserve"> </w:t>
      </w:r>
      <w:r w:rsidR="00446C26">
        <w:rPr>
          <w:rFonts w:ascii="Arial" w:hAnsi="Arial" w:cs="Arial"/>
          <w:sz w:val="20"/>
        </w:rPr>
        <w:t xml:space="preserve">at </w:t>
      </w:r>
      <w:hyperlink r:id="rId10" w:history="1">
        <w:r w:rsidR="00446C2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E6A707B" w14:textId="72ABC86C" w:rsidR="00DB7D27" w:rsidRPr="00500E8C" w:rsidRDefault="0074340F" w:rsidP="00446C26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 w:rsidRPr="00500E8C">
        <w:rPr>
          <w:rFonts w:ascii="Arial" w:hAnsi="Arial" w:cs="Arial"/>
          <w:sz w:val="20"/>
          <w:lang w:val="en-GB"/>
        </w:rPr>
        <w:t>**)</w:t>
      </w:r>
      <w:r w:rsidRPr="00500E8C">
        <w:rPr>
          <w:rFonts w:ascii="Arial" w:hAnsi="Arial" w:cs="Arial"/>
          <w:sz w:val="20"/>
          <w:lang w:val="en-GB"/>
        </w:rPr>
        <w:tab/>
      </w:r>
      <w:r w:rsidR="00804014">
        <w:rPr>
          <w:rFonts w:ascii="Arial" w:hAnsi="Arial" w:cs="Arial"/>
          <w:sz w:val="20"/>
          <w:lang w:val="en-GB"/>
        </w:rPr>
        <w:tab/>
      </w:r>
      <w:r w:rsidRPr="00500E8C">
        <w:rPr>
          <w:rFonts w:ascii="Arial" w:hAnsi="Arial" w:cs="Arial"/>
          <w:sz w:val="20"/>
          <w:lang w:val="en-GB"/>
        </w:rPr>
        <w:t>In case you have the option to use by routine in your daily samples both cuvette sizes (10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as well as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mm), please preferably report the test result of the 50</w:t>
      </w:r>
      <w:r w:rsidR="00D83644">
        <w:rPr>
          <w:rFonts w:ascii="Arial" w:hAnsi="Arial" w:cs="Arial"/>
          <w:sz w:val="20"/>
          <w:lang w:val="en-GB"/>
        </w:rPr>
        <w:t xml:space="preserve"> </w:t>
      </w:r>
      <w:r w:rsidRPr="00500E8C">
        <w:rPr>
          <w:rFonts w:ascii="Arial" w:hAnsi="Arial" w:cs="Arial"/>
          <w:sz w:val="20"/>
          <w:lang w:val="en-GB"/>
        </w:rPr>
        <w:t>mm cuvette size</w:t>
      </w:r>
    </w:p>
    <w:sectPr w:rsidR="00DB7D27" w:rsidRPr="00500E8C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7805" w14:textId="473A55FF" w:rsidR="004A3378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763888">
      <w:rPr>
        <w:rFonts w:ascii="Arial" w:hAnsi="Arial" w:cs="Arial"/>
      </w:rPr>
      <w:t>Mono Ethylene glycol (MEG polyester grade) iis2</w:t>
    </w:r>
    <w:r w:rsidR="00446C26">
      <w:rPr>
        <w:rFonts w:ascii="Arial" w:hAnsi="Arial" w:cs="Arial"/>
      </w:rPr>
      <w:t>3</w:t>
    </w:r>
    <w:r w:rsidR="00763888">
      <w:rPr>
        <w:rFonts w:ascii="Arial" w:hAnsi="Arial" w:cs="Arial"/>
      </w:rPr>
      <w:t>C1</w:t>
    </w:r>
    <w:r w:rsidR="0045147C">
      <w:rPr>
        <w:rFonts w:ascii="Arial" w:hAnsi="Arial" w:cs="Arial"/>
      </w:rPr>
      <w:t>0</w:t>
    </w:r>
    <w:r w:rsidR="00763888">
      <w:rPr>
        <w:rFonts w:ascii="Arial" w:hAnsi="Arial" w:cs="Arial"/>
      </w:rPr>
      <w:t xml:space="preserve"> </w:t>
    </w:r>
    <w:r w:rsidR="00763888" w:rsidRPr="00763888">
      <w:rPr>
        <w:rFonts w:ascii="Arial" w:hAnsi="Arial" w:cs="Arial"/>
        <w:b w:val="0"/>
        <w:bCs/>
        <w:sz w:val="20"/>
        <w:szCs w:val="16"/>
      </w:rPr>
      <w:t>Based on the scope of the latest version of ASTM E202</w:t>
    </w:r>
    <w:r w:rsidR="00763888">
      <w:rPr>
        <w:rFonts w:ascii="Arial" w:hAnsi="Arial" w:cs="Arial"/>
      </w:rPr>
      <w:tab/>
    </w:r>
  </w:p>
  <w:p w14:paraId="71A54A43" w14:textId="3875BB35" w:rsidR="00F1287D" w:rsidRPr="00511573" w:rsidRDefault="004A3378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1287D" w:rsidRPr="001374F1">
      <w:rPr>
        <w:rFonts w:ascii="Arial" w:hAnsi="Arial" w:cs="Arial"/>
        <w:szCs w:val="24"/>
      </w:rPr>
      <w:t>lab code:</w:t>
    </w:r>
  </w:p>
  <w:p w14:paraId="6D1EDFE0" w14:textId="53321A6A" w:rsidR="00F1287D" w:rsidRDefault="0019185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C9B0C42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2EA082FC" w14:textId="77777777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5ECDBBF6" w14:textId="2401EC62" w:rsidR="008E23FF" w:rsidRPr="00813518" w:rsidRDefault="008E23FF" w:rsidP="008E23FF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26202D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</w:t>
    </w:r>
    <w:r w:rsidR="001374F1">
      <w:rPr>
        <w:rFonts w:ascii="Arial" w:hAnsi="Arial" w:cs="Arial"/>
        <w:b/>
        <w:sz w:val="22"/>
        <w:szCs w:val="22"/>
      </w:rPr>
      <w:t xml:space="preserve"> September</w:t>
    </w:r>
    <w:r>
      <w:rPr>
        <w:rFonts w:ascii="Arial" w:hAnsi="Arial" w:cs="Arial"/>
        <w:b/>
        <w:sz w:val="22"/>
        <w:szCs w:val="22"/>
      </w:rPr>
      <w:t xml:space="preserve"> </w:t>
    </w:r>
    <w:r w:rsidR="001374F1">
      <w:rPr>
        <w:rFonts w:ascii="Arial" w:hAnsi="Arial" w:cs="Arial"/>
        <w:b/>
        <w:sz w:val="22"/>
        <w:szCs w:val="22"/>
      </w:rPr>
      <w:t>2</w:t>
    </w:r>
    <w:r w:rsidR="00446C26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</w:t>
    </w:r>
    <w:r w:rsidR="001374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0011E5">
      <w:rPr>
        <w:rFonts w:ascii="Arial" w:hAnsi="Arial" w:cs="Arial"/>
        <w:b/>
        <w:sz w:val="22"/>
        <w:szCs w:val="22"/>
      </w:rPr>
      <w:t>2</w:t>
    </w:r>
    <w:r w:rsidR="00446C26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46C26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744561">
    <w:abstractNumId w:val="2"/>
  </w:num>
  <w:num w:numId="2" w16cid:durableId="1790394522">
    <w:abstractNumId w:val="6"/>
  </w:num>
  <w:num w:numId="3" w16cid:durableId="865749574">
    <w:abstractNumId w:val="4"/>
  </w:num>
  <w:num w:numId="4" w16cid:durableId="202639187">
    <w:abstractNumId w:val="8"/>
  </w:num>
  <w:num w:numId="5" w16cid:durableId="1886793162">
    <w:abstractNumId w:val="7"/>
  </w:num>
  <w:num w:numId="6" w16cid:durableId="134612191">
    <w:abstractNumId w:val="9"/>
  </w:num>
  <w:num w:numId="7" w16cid:durableId="2047751427">
    <w:abstractNumId w:val="5"/>
  </w:num>
  <w:num w:numId="8" w16cid:durableId="1572957678">
    <w:abstractNumId w:val="3"/>
  </w:num>
  <w:num w:numId="9" w16cid:durableId="1829636621">
    <w:abstractNumId w:val="0"/>
  </w:num>
  <w:num w:numId="10" w16cid:durableId="158502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1E5"/>
    <w:rsid w:val="0000576F"/>
    <w:rsid w:val="0000679C"/>
    <w:rsid w:val="00023BF6"/>
    <w:rsid w:val="0003458D"/>
    <w:rsid w:val="000356B6"/>
    <w:rsid w:val="000423C9"/>
    <w:rsid w:val="00057789"/>
    <w:rsid w:val="00060E74"/>
    <w:rsid w:val="00061D6A"/>
    <w:rsid w:val="00065D6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4F1"/>
    <w:rsid w:val="00137C0C"/>
    <w:rsid w:val="00143E6E"/>
    <w:rsid w:val="0016696C"/>
    <w:rsid w:val="00176E0C"/>
    <w:rsid w:val="00191854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33E0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13D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C727E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0ADD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32F"/>
    <w:rsid w:val="00414CF8"/>
    <w:rsid w:val="00441217"/>
    <w:rsid w:val="00441A81"/>
    <w:rsid w:val="0044441B"/>
    <w:rsid w:val="00446C26"/>
    <w:rsid w:val="0045147C"/>
    <w:rsid w:val="00453144"/>
    <w:rsid w:val="00454430"/>
    <w:rsid w:val="00454D3A"/>
    <w:rsid w:val="004658E7"/>
    <w:rsid w:val="00474E14"/>
    <w:rsid w:val="00496456"/>
    <w:rsid w:val="0049693F"/>
    <w:rsid w:val="004A3378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0E8C"/>
    <w:rsid w:val="00504514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25D9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34D1"/>
    <w:rsid w:val="00642711"/>
    <w:rsid w:val="00652D38"/>
    <w:rsid w:val="00654257"/>
    <w:rsid w:val="00655CC9"/>
    <w:rsid w:val="00655EAC"/>
    <w:rsid w:val="006565F0"/>
    <w:rsid w:val="00666591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340F"/>
    <w:rsid w:val="00752B51"/>
    <w:rsid w:val="007537D3"/>
    <w:rsid w:val="00754096"/>
    <w:rsid w:val="00757481"/>
    <w:rsid w:val="00760FFF"/>
    <w:rsid w:val="00763888"/>
    <w:rsid w:val="0076414F"/>
    <w:rsid w:val="00770EC1"/>
    <w:rsid w:val="00770FEA"/>
    <w:rsid w:val="007760EE"/>
    <w:rsid w:val="007763E2"/>
    <w:rsid w:val="00781951"/>
    <w:rsid w:val="007826E8"/>
    <w:rsid w:val="007905CD"/>
    <w:rsid w:val="007A32DB"/>
    <w:rsid w:val="007A616B"/>
    <w:rsid w:val="007B62AC"/>
    <w:rsid w:val="007B6FDB"/>
    <w:rsid w:val="007C1C02"/>
    <w:rsid w:val="007C5C8C"/>
    <w:rsid w:val="007D55B1"/>
    <w:rsid w:val="007E1423"/>
    <w:rsid w:val="007F19C5"/>
    <w:rsid w:val="00804014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40F4"/>
    <w:rsid w:val="008A7423"/>
    <w:rsid w:val="008B0A30"/>
    <w:rsid w:val="008B74BA"/>
    <w:rsid w:val="008C3B32"/>
    <w:rsid w:val="008E23FF"/>
    <w:rsid w:val="00911A39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669B"/>
    <w:rsid w:val="009B56D8"/>
    <w:rsid w:val="009C1DE8"/>
    <w:rsid w:val="009C3A76"/>
    <w:rsid w:val="009C78DD"/>
    <w:rsid w:val="009D7C1A"/>
    <w:rsid w:val="009E31E5"/>
    <w:rsid w:val="009E39B9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01C3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CC8"/>
    <w:rsid w:val="00C56FC3"/>
    <w:rsid w:val="00C61B79"/>
    <w:rsid w:val="00C75DFE"/>
    <w:rsid w:val="00C84494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1301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72BC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644"/>
    <w:rsid w:val="00D86B52"/>
    <w:rsid w:val="00DA0782"/>
    <w:rsid w:val="00DA7516"/>
    <w:rsid w:val="00DB374B"/>
    <w:rsid w:val="00DB7D27"/>
    <w:rsid w:val="00DC0B74"/>
    <w:rsid w:val="00DC2D86"/>
    <w:rsid w:val="00DD0922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1524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798B-3E37-42F5-8982-49AB83AC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2545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2023-08-22T09:48:00Z</dcterms:created>
  <dcterms:modified xsi:type="dcterms:W3CDTF">2023-08-22T09:54:00Z</dcterms:modified>
</cp:coreProperties>
</file>