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435539E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1374F1">
        <w:rPr>
          <w:rFonts w:ascii="Arial" w:hAnsi="Arial" w:cs="Arial"/>
          <w:b/>
          <w:sz w:val="22"/>
          <w:szCs w:val="22"/>
        </w:rPr>
        <w:t>195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74340F" w:rsidRPr="00344D4B" w14:paraId="3935F809" w14:textId="77777777" w:rsidTr="0074340F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344D4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344D4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344D4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344D4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A13168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344D4B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A13168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A13168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344D4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4340F" w:rsidRPr="00344D4B" w14:paraId="782F72D4" w14:textId="77777777" w:rsidTr="0074340F">
        <w:trPr>
          <w:trHeight w:hRule="exact" w:val="539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4559" w14:textId="77777777" w:rsidR="00911A39" w:rsidRDefault="0074340F" w:rsidP="0074340F">
            <w:pPr>
              <w:rPr>
                <w:rFonts w:ascii="Arial" w:hAnsi="Arial" w:cs="Arial"/>
                <w:sz w:val="20"/>
                <w:lang w:val="en-US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Acidity as Acetic Acid</w:t>
            </w:r>
            <w:r w:rsidRPr="0074340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6795539" w14:textId="1A592646" w:rsidR="0074340F" w:rsidRPr="0074340F" w:rsidRDefault="00911A39" w:rsidP="007434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74340F">
              <w:rPr>
                <w:rFonts w:ascii="Arial" w:hAnsi="Arial" w:cs="Arial"/>
                <w:sz w:val="20"/>
                <w:lang w:val="en-US"/>
              </w:rPr>
              <w:t>ASTM E2679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75162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A091A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E2679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BDE86" w14:textId="04F4AE79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47760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564C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000FC97C" w14:textId="77777777" w:rsidTr="0074340F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34E6E86A" w14:textId="77777777" w:rsidR="00911A39" w:rsidRDefault="0074340F" w:rsidP="0074340F">
            <w:pPr>
              <w:rPr>
                <w:rFonts w:ascii="Arial" w:hAnsi="Arial" w:cs="Arial"/>
                <w:sz w:val="20"/>
                <w:lang w:val="en-US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74340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4F552B52" w14:textId="062FE5EC" w:rsidR="0074340F" w:rsidRPr="0074340F" w:rsidRDefault="00911A39" w:rsidP="007434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74340F">
              <w:rPr>
                <w:rFonts w:ascii="Arial" w:hAnsi="Arial" w:cs="Arial"/>
                <w:sz w:val="20"/>
                <w:lang w:val="en-US"/>
              </w:rPr>
              <w:t>ASTM D1613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6BCFD2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105565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A9070B" w14:textId="39D6053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87FF482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EBF3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69984115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8B1456D" w14:textId="77777777" w:rsidR="0074340F" w:rsidRPr="0074340F" w:rsidRDefault="0074340F" w:rsidP="0074340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Aldehydes as Acetaldehyde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3C16D52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8BBAAD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E2313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858187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C6C320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9388D7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257CE9B1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74340F" w:rsidRDefault="0074340F" w:rsidP="0074340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695981DC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41DE2AC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Ash content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8DC33D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87E46F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D482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535808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64FF5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3A4EE60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194C4F73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E2469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127166F1" w14:textId="77777777" w:rsidTr="0041332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78FCE704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 xml:space="preserve">Color Pt/Co </w:t>
            </w:r>
            <w:r w:rsidR="00911A39">
              <w:rPr>
                <w:rFonts w:ascii="Arial" w:hAnsi="Arial" w:cs="Arial"/>
                <w:sz w:val="20"/>
                <w:lang w:val="en-US"/>
              </w:rPr>
              <w:t>(Manual)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1323BCB0" w14:textId="77777777" w:rsidTr="0041332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386DD75" w14:textId="33369B51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Color Pt/Co</w:t>
            </w:r>
            <w:r w:rsidRPr="0074340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11A39">
              <w:rPr>
                <w:rFonts w:ascii="Arial" w:hAnsi="Arial" w:cs="Arial"/>
                <w:sz w:val="20"/>
                <w:lang w:val="en-US"/>
              </w:rPr>
              <w:t>(Automated)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EA83EF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424AA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D5386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8F7A7B" w14:textId="3F092BF0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5A89A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A601573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517AF16A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Density at 20°C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74340F" w:rsidRDefault="0074340F" w:rsidP="0074340F">
            <w:pPr>
              <w:rPr>
                <w:rFonts w:ascii="Arial" w:hAnsi="Arial" w:cs="Arial"/>
                <w:strike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26B5BCFD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48C5AA7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Diethylene Glycol</w:t>
            </w:r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EAF21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16592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E2409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72710C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67BF7C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29E7FE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34B3CD6C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51FF4DA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Distillation Mode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0118D9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 xml:space="preserve">Automated / Manual **) </w:t>
            </w: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232BE1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57118E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24964FB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09ED23CF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0DC72B6" w14:textId="77777777" w:rsidR="0074340F" w:rsidRPr="0074340F" w:rsidRDefault="0074340F" w:rsidP="007434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- Initial Boiling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299F16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C8E94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5AA4446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00A1875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E5910FB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1428C130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7777777" w:rsidR="0074340F" w:rsidRPr="0074340F" w:rsidRDefault="0074340F" w:rsidP="007434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- 50%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7D21B9E9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77777777" w:rsidR="0074340F" w:rsidRPr="0074340F" w:rsidRDefault="0074340F" w:rsidP="007434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- 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D0922" w:rsidRPr="00344D4B" w14:paraId="2E0DA87C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4B1437B" w:rsidR="00DD0922" w:rsidRPr="0074340F" w:rsidRDefault="00DD0922" w:rsidP="007434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DD0922" w:rsidRPr="0074340F" w:rsidRDefault="00DD0922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4C5DEE2F" w:rsidR="00DD0922" w:rsidRPr="0074340F" w:rsidRDefault="00DD0922" w:rsidP="007434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E1615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DD0922" w:rsidRPr="0074340F" w:rsidRDefault="00DD0922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DD0922" w:rsidRPr="0074340F" w:rsidRDefault="00DD0922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DD0922" w:rsidRPr="0074340F" w:rsidRDefault="00DD0922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42D3367E" w14:textId="77777777" w:rsidTr="0074340F">
        <w:trPr>
          <w:trHeight w:hRule="exact" w:val="456"/>
        </w:trPr>
        <w:tc>
          <w:tcPr>
            <w:tcW w:w="2878" w:type="dxa"/>
            <w:shd w:val="clear" w:color="auto" w:fill="auto"/>
            <w:vAlign w:val="center"/>
          </w:tcPr>
          <w:p w14:paraId="11E61F67" w14:textId="77777777" w:rsidR="0074340F" w:rsidRPr="0074340F" w:rsidRDefault="0074340F" w:rsidP="007434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</w:rPr>
              <w:t>Miscibility with water (Hydrocarbons)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4F5A5B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4A27C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D1722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E4EB83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2BE1D8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18412D5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21A10910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4CEB8C94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Specific Gravity 20/20°C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4340F" w:rsidRPr="00344D4B" w14:paraId="3206C42D" w14:textId="77777777" w:rsidTr="0074340F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74340F" w:rsidRPr="0074340F" w:rsidRDefault="0074340F" w:rsidP="0074340F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74340F" w:rsidRPr="0074340F" w:rsidRDefault="0074340F" w:rsidP="0074340F">
            <w:pPr>
              <w:rPr>
                <w:rFonts w:ascii="Arial" w:hAnsi="Arial" w:cs="Arial"/>
                <w:sz w:val="20"/>
                <w:lang w:val="en-GB"/>
              </w:rPr>
            </w:pPr>
            <w:r w:rsidRPr="0074340F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74340F" w:rsidRPr="0074340F" w:rsidRDefault="0074340F" w:rsidP="0074340F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62E88C12" w:rsidR="007763E2" w:rsidRDefault="007763E2" w:rsidP="00B401C3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B401C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77777777" w:rsidR="00B401C3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CC94ED" w14:textId="77777777" w:rsidR="008E23FF" w:rsidRPr="00197A5C" w:rsidRDefault="008E23FF" w:rsidP="008E23FF">
      <w:pPr>
        <w:rPr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85AE72F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</w:t>
      </w:r>
      <w:r w:rsidR="0074340F">
        <w:rPr>
          <w:rFonts w:ascii="Arial" w:hAnsi="Arial" w:cs="Arial"/>
          <w:b/>
          <w:sz w:val="22"/>
          <w:szCs w:val="22"/>
        </w:rPr>
        <w:t>196</w:t>
      </w:r>
    </w:p>
    <w:p w14:paraId="4263B025" w14:textId="05694C85" w:rsidR="0074340F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33A92BF6" w14:textId="77777777" w:rsidR="0074340F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2C6CD7CD" w14:textId="77777777" w:rsidR="0074340F" w:rsidRPr="00A0522F" w:rsidRDefault="0074340F" w:rsidP="0074340F">
      <w:pPr>
        <w:spacing w:after="60"/>
        <w:ind w:right="-567"/>
        <w:rPr>
          <w:rFonts w:ascii="Arial" w:hAnsi="Arial" w:cs="Arial"/>
          <w:sz w:val="22"/>
          <w:szCs w:val="22"/>
          <w:lang w:val="en-GB"/>
        </w:rPr>
      </w:pPr>
      <w:r w:rsidRPr="00A0522F">
        <w:rPr>
          <w:rFonts w:ascii="Arial" w:hAnsi="Arial" w:cs="Arial"/>
          <w:b/>
          <w:sz w:val="22"/>
          <w:szCs w:val="22"/>
          <w:lang w:val="en-GB"/>
        </w:rPr>
        <w:t>Nitrogen sparging of the sample</w:t>
      </w:r>
      <w:r w:rsidRPr="00A0522F">
        <w:rPr>
          <w:rFonts w:ascii="Arial" w:hAnsi="Arial" w:cs="Arial"/>
          <w:sz w:val="22"/>
          <w:szCs w:val="22"/>
          <w:lang w:val="en-GB"/>
        </w:rPr>
        <w:t xml:space="preserve"> (Option A of ASTM E2193)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061D6A" w:rsidRPr="00A0522F" w14:paraId="50009749" w14:textId="77777777" w:rsidTr="00061D6A">
        <w:trPr>
          <w:trHeight w:val="20"/>
        </w:trPr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</w:tcPr>
          <w:p w14:paraId="669FA49F" w14:textId="35EADE04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157B4520" w14:textId="4ADCA99C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</w:tcPr>
          <w:p w14:paraId="35179C8A" w14:textId="1D478925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65DD31A6" w14:textId="2E30F38E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3C72ACF1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9215DC4" w14:textId="1661757E" w:rsidR="00061D6A" w:rsidRPr="00344D4B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tcBorders>
              <w:top w:val="double" w:sz="6" w:space="0" w:color="auto"/>
              <w:bottom w:val="single" w:sz="4" w:space="0" w:color="auto"/>
            </w:tcBorders>
          </w:tcPr>
          <w:p w14:paraId="75D88F53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FF623C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0171154" w14:textId="53684DAB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1D6A" w:rsidRPr="00A0522F" w14:paraId="1B1953F9" w14:textId="77777777" w:rsidTr="00061D6A">
        <w:trPr>
          <w:trHeight w:val="340"/>
        </w:trPr>
        <w:tc>
          <w:tcPr>
            <w:tcW w:w="2835" w:type="dxa"/>
          </w:tcPr>
          <w:p w14:paraId="41B8A835" w14:textId="77777777" w:rsidR="00061D6A" w:rsidRPr="00A0522F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UV Cuvette size</w:t>
            </w:r>
            <w:r>
              <w:rPr>
                <w:rFonts w:ascii="Arial" w:hAnsi="Arial" w:cs="Arial"/>
                <w:sz w:val="20"/>
                <w:lang w:val="en-GB"/>
              </w:rPr>
              <w:t xml:space="preserve"> **)</w:t>
            </w:r>
          </w:p>
        </w:tc>
        <w:tc>
          <w:tcPr>
            <w:tcW w:w="1134" w:type="dxa"/>
          </w:tcPr>
          <w:p w14:paraId="6419C72D" w14:textId="77777777" w:rsidR="00061D6A" w:rsidRPr="00A0522F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18" w:type="dxa"/>
          </w:tcPr>
          <w:p w14:paraId="4BFB05F4" w14:textId="77777777" w:rsidR="00061D6A" w:rsidRPr="00A0522F" w:rsidRDefault="00061D6A" w:rsidP="00061D6A">
            <w:pPr>
              <w:spacing w:before="12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8203E19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07FB4AD5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4E7289B2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A0522F" w14:paraId="6CBB824C" w14:textId="77777777" w:rsidTr="00061D6A">
        <w:trPr>
          <w:trHeight w:val="340"/>
        </w:trPr>
        <w:tc>
          <w:tcPr>
            <w:tcW w:w="2835" w:type="dxa"/>
          </w:tcPr>
          <w:p w14:paraId="35B736EC" w14:textId="77777777" w:rsidR="00061D6A" w:rsidRPr="00A0522F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34" w:type="dxa"/>
          </w:tcPr>
          <w:p w14:paraId="50C2CFCE" w14:textId="77777777" w:rsidR="00061D6A" w:rsidRPr="00A0522F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5CAAE408" w14:textId="77777777" w:rsidR="00061D6A" w:rsidRPr="00A0522F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22FAEAB6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0F0B1FDD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38D2094C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A0522F" w14:paraId="3794DB5D" w14:textId="77777777" w:rsidTr="00061D6A">
        <w:trPr>
          <w:trHeight w:val="340"/>
        </w:trPr>
        <w:tc>
          <w:tcPr>
            <w:tcW w:w="2835" w:type="dxa"/>
          </w:tcPr>
          <w:p w14:paraId="708287B5" w14:textId="77777777" w:rsidR="00061D6A" w:rsidRPr="00A0522F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34" w:type="dxa"/>
          </w:tcPr>
          <w:p w14:paraId="5A9D0C62" w14:textId="77777777" w:rsidR="00061D6A" w:rsidRPr="00A0522F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55F0FF84" w14:textId="77777777" w:rsidR="00061D6A" w:rsidRPr="00A0522F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198744B8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564118B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1B02055F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A0522F" w14:paraId="09BFDA19" w14:textId="77777777" w:rsidTr="00061D6A">
        <w:trPr>
          <w:trHeight w:val="340"/>
        </w:trPr>
        <w:tc>
          <w:tcPr>
            <w:tcW w:w="2835" w:type="dxa"/>
          </w:tcPr>
          <w:p w14:paraId="64B04E0F" w14:textId="77777777" w:rsidR="00061D6A" w:rsidRPr="00A0522F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34" w:type="dxa"/>
          </w:tcPr>
          <w:p w14:paraId="5AAF7608" w14:textId="77777777" w:rsidR="00061D6A" w:rsidRPr="00A0522F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184FEFEB" w14:textId="77777777" w:rsidR="00061D6A" w:rsidRPr="00A0522F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4DB3CA22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055E6A4C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1220A753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A0522F" w14:paraId="4D5108B8" w14:textId="77777777" w:rsidTr="00061D6A">
        <w:trPr>
          <w:trHeight w:val="340"/>
        </w:trPr>
        <w:tc>
          <w:tcPr>
            <w:tcW w:w="2835" w:type="dxa"/>
          </w:tcPr>
          <w:p w14:paraId="201E9460" w14:textId="77777777" w:rsidR="00061D6A" w:rsidRPr="00A0522F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34" w:type="dxa"/>
          </w:tcPr>
          <w:p w14:paraId="502EEF8E" w14:textId="77777777" w:rsidR="00061D6A" w:rsidRPr="00A0522F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33A8FBC5" w14:textId="77777777" w:rsidR="00061D6A" w:rsidRPr="00A0522F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A0522F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74CF7E98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73878BD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2C7CDDAD" w14:textId="77777777" w:rsidR="00061D6A" w:rsidRPr="00A0522F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98E05F9" w14:textId="77777777" w:rsidR="007763E2" w:rsidRPr="001E4354" w:rsidRDefault="007763E2" w:rsidP="0074340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0D22885" w14:textId="77777777" w:rsidR="0074340F" w:rsidRDefault="0074340F" w:rsidP="0074340F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**)</w:t>
      </w:r>
      <w:r w:rsidRPr="00EA58FA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In case you have the option to use </w:t>
      </w:r>
      <w:r w:rsidRPr="009A2409">
        <w:rPr>
          <w:rFonts w:ascii="Arial" w:hAnsi="Arial" w:cs="Arial"/>
          <w:sz w:val="20"/>
          <w:lang w:val="en-GB"/>
        </w:rPr>
        <w:t>by routine in your daily samples</w:t>
      </w:r>
      <w:r>
        <w:rPr>
          <w:rFonts w:ascii="Arial" w:hAnsi="Arial" w:cs="Arial"/>
          <w:sz w:val="20"/>
          <w:lang w:val="en-GB"/>
        </w:rPr>
        <w:t xml:space="preserve"> both cuvette sizes (10mm as well as 50mm), please preferably report the test result of the 50mm cuvette size</w:t>
      </w:r>
    </w:p>
    <w:p w14:paraId="26043239" w14:textId="7C084532" w:rsidR="00E84108" w:rsidRDefault="00E84108" w:rsidP="00454D3A">
      <w:pPr>
        <w:rPr>
          <w:sz w:val="22"/>
          <w:szCs w:val="22"/>
        </w:rPr>
      </w:pPr>
    </w:p>
    <w:p w14:paraId="64537E48" w14:textId="72207861" w:rsidR="0074340F" w:rsidRDefault="0074340F" w:rsidP="00454D3A">
      <w:pPr>
        <w:rPr>
          <w:sz w:val="22"/>
          <w:szCs w:val="22"/>
        </w:rPr>
      </w:pPr>
    </w:p>
    <w:p w14:paraId="66D1603F" w14:textId="77777777" w:rsidR="0074340F" w:rsidRPr="00344D4B" w:rsidRDefault="0074340F" w:rsidP="0074340F">
      <w:pPr>
        <w:tabs>
          <w:tab w:val="left" w:pos="720"/>
          <w:tab w:val="left" w:pos="3402"/>
        </w:tabs>
        <w:spacing w:after="60"/>
        <w:outlineLvl w:val="0"/>
        <w:rPr>
          <w:rFonts w:ascii="Arial" w:hAnsi="Arial" w:cs="Arial"/>
          <w:sz w:val="22"/>
          <w:szCs w:val="22"/>
          <w:lang w:val="en-GB"/>
        </w:rPr>
      </w:pPr>
      <w:r w:rsidRPr="00344D4B">
        <w:rPr>
          <w:rFonts w:ascii="Arial" w:hAnsi="Arial" w:cs="Arial"/>
          <w:b/>
          <w:sz w:val="22"/>
          <w:szCs w:val="22"/>
          <w:lang w:val="en-GB"/>
        </w:rPr>
        <w:t xml:space="preserve">No nitrogen sparging </w:t>
      </w:r>
      <w:r w:rsidRPr="008470CC">
        <w:rPr>
          <w:rFonts w:ascii="Arial" w:hAnsi="Arial" w:cs="Arial"/>
          <w:sz w:val="22"/>
          <w:szCs w:val="22"/>
          <w:lang w:val="en-GB"/>
        </w:rPr>
        <w:t>(Option</w:t>
      </w:r>
      <w:r w:rsidRPr="00344D4B">
        <w:rPr>
          <w:rFonts w:ascii="Arial" w:hAnsi="Arial" w:cs="Arial"/>
          <w:sz w:val="22"/>
          <w:szCs w:val="22"/>
          <w:lang w:val="en-GB"/>
        </w:rPr>
        <w:t xml:space="preserve"> B of ASTM E2193)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061D6A" w:rsidRPr="00344D4B" w14:paraId="733E881B" w14:textId="77777777" w:rsidTr="00061D6A">
        <w:trPr>
          <w:trHeight w:val="20"/>
        </w:trPr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</w:tcPr>
          <w:p w14:paraId="09664A33" w14:textId="54214706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34393CED" w14:textId="1317E4FB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</w:tcPr>
          <w:p w14:paraId="12E324FF" w14:textId="33D8BCBF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2F0EF665" w14:textId="19FD974F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641B3DF8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483DFE8" w14:textId="04254E94" w:rsidR="00061D6A" w:rsidRPr="00344D4B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tcBorders>
              <w:top w:val="double" w:sz="6" w:space="0" w:color="auto"/>
              <w:bottom w:val="single" w:sz="4" w:space="0" w:color="auto"/>
            </w:tcBorders>
          </w:tcPr>
          <w:p w14:paraId="24020070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BD77F4F" w14:textId="77777777" w:rsidR="00061D6A" w:rsidRPr="00A13168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231956E" w14:textId="153BE380" w:rsidR="00061D6A" w:rsidRPr="00344D4B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1D6A" w:rsidRPr="00344D4B" w14:paraId="49EDFBAD" w14:textId="77777777" w:rsidTr="00061D6A">
        <w:trPr>
          <w:trHeight w:val="340"/>
        </w:trPr>
        <w:tc>
          <w:tcPr>
            <w:tcW w:w="2835" w:type="dxa"/>
          </w:tcPr>
          <w:p w14:paraId="40F86A6C" w14:textId="77777777" w:rsidR="00061D6A" w:rsidRPr="00344D4B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UV Cuvette size</w:t>
            </w:r>
            <w:r>
              <w:rPr>
                <w:rFonts w:ascii="Arial" w:hAnsi="Arial" w:cs="Arial"/>
                <w:sz w:val="20"/>
                <w:lang w:val="en-GB"/>
              </w:rPr>
              <w:t xml:space="preserve"> **)</w:t>
            </w:r>
          </w:p>
        </w:tc>
        <w:tc>
          <w:tcPr>
            <w:tcW w:w="1134" w:type="dxa"/>
          </w:tcPr>
          <w:p w14:paraId="15177965" w14:textId="77777777" w:rsidR="00061D6A" w:rsidRPr="00344D4B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18" w:type="dxa"/>
          </w:tcPr>
          <w:p w14:paraId="4098C818" w14:textId="77777777" w:rsidR="00061D6A" w:rsidRPr="00344D4B" w:rsidRDefault="00061D6A" w:rsidP="00061D6A">
            <w:pPr>
              <w:spacing w:before="12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0412798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98DB1F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691AF320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344D4B" w14:paraId="265B6B8F" w14:textId="77777777" w:rsidTr="00061D6A">
        <w:trPr>
          <w:trHeight w:val="340"/>
        </w:trPr>
        <w:tc>
          <w:tcPr>
            <w:tcW w:w="2835" w:type="dxa"/>
          </w:tcPr>
          <w:p w14:paraId="49DCE8A6" w14:textId="77777777" w:rsidR="00061D6A" w:rsidRPr="00344D4B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34" w:type="dxa"/>
          </w:tcPr>
          <w:p w14:paraId="3AD6091D" w14:textId="77777777" w:rsidR="00061D6A" w:rsidRPr="00344D4B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40286B16" w14:textId="77777777" w:rsidR="00061D6A" w:rsidRPr="00344D4B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69A104C1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140512E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7B772F38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344D4B" w14:paraId="035F84B9" w14:textId="77777777" w:rsidTr="00061D6A">
        <w:trPr>
          <w:trHeight w:val="340"/>
        </w:trPr>
        <w:tc>
          <w:tcPr>
            <w:tcW w:w="2835" w:type="dxa"/>
          </w:tcPr>
          <w:p w14:paraId="1C3A1C4D" w14:textId="77777777" w:rsidR="00061D6A" w:rsidRPr="00344D4B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34" w:type="dxa"/>
          </w:tcPr>
          <w:p w14:paraId="7C5C7728" w14:textId="77777777" w:rsidR="00061D6A" w:rsidRPr="00344D4B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02543AC9" w14:textId="77777777" w:rsidR="00061D6A" w:rsidRPr="00344D4B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745FF13B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FB657D4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31542015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344D4B" w14:paraId="5EA652F3" w14:textId="77777777" w:rsidTr="00061D6A">
        <w:trPr>
          <w:trHeight w:val="340"/>
        </w:trPr>
        <w:tc>
          <w:tcPr>
            <w:tcW w:w="2835" w:type="dxa"/>
          </w:tcPr>
          <w:p w14:paraId="02735E70" w14:textId="77777777" w:rsidR="00061D6A" w:rsidRPr="00344D4B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34" w:type="dxa"/>
          </w:tcPr>
          <w:p w14:paraId="1EFAAF21" w14:textId="77777777" w:rsidR="00061D6A" w:rsidRPr="00344D4B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121D4090" w14:textId="77777777" w:rsidR="00061D6A" w:rsidRPr="00344D4B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074287F1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65E1CC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45942042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61D6A" w:rsidRPr="00344D4B" w14:paraId="52286CB3" w14:textId="77777777" w:rsidTr="00061D6A">
        <w:trPr>
          <w:trHeight w:val="340"/>
        </w:trPr>
        <w:tc>
          <w:tcPr>
            <w:tcW w:w="2835" w:type="dxa"/>
          </w:tcPr>
          <w:p w14:paraId="2DC91F5A" w14:textId="77777777" w:rsidR="00061D6A" w:rsidRPr="00344D4B" w:rsidRDefault="00061D6A" w:rsidP="00061D6A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34" w:type="dxa"/>
          </w:tcPr>
          <w:p w14:paraId="17C488D4" w14:textId="77777777" w:rsidR="00061D6A" w:rsidRPr="00344D4B" w:rsidRDefault="00061D6A" w:rsidP="00061D6A">
            <w:pPr>
              <w:spacing w:before="120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</w:tcPr>
          <w:p w14:paraId="69C1EB47" w14:textId="77777777" w:rsidR="00061D6A" w:rsidRPr="00344D4B" w:rsidRDefault="00061D6A" w:rsidP="00061D6A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344D4B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4F6C00D2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D68660E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29202B43" w14:textId="77777777" w:rsidR="00061D6A" w:rsidRPr="00344D4B" w:rsidRDefault="00061D6A" w:rsidP="00061D6A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AE7308E" w14:textId="77777777" w:rsidR="0074340F" w:rsidRPr="001E4354" w:rsidRDefault="0074340F" w:rsidP="0074340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E6A707B" w14:textId="325BBA09" w:rsidR="00DB7D27" w:rsidRPr="00061D6A" w:rsidRDefault="0074340F" w:rsidP="00061D6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**)</w:t>
      </w:r>
      <w:r w:rsidRPr="00EA58FA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In case you have the option to use </w:t>
      </w:r>
      <w:r w:rsidRPr="009A2409">
        <w:rPr>
          <w:rFonts w:ascii="Arial" w:hAnsi="Arial" w:cs="Arial"/>
          <w:sz w:val="20"/>
          <w:lang w:val="en-GB"/>
        </w:rPr>
        <w:t>by routine in your daily samples</w:t>
      </w:r>
      <w:r>
        <w:rPr>
          <w:rFonts w:ascii="Arial" w:hAnsi="Arial" w:cs="Arial"/>
          <w:sz w:val="20"/>
          <w:lang w:val="en-GB"/>
        </w:rPr>
        <w:t xml:space="preserve"> both cuvette sizes (10mm as well as 50mm), please preferably report the test result of the 50mm cuvette size</w:t>
      </w:r>
    </w:p>
    <w:sectPr w:rsidR="00DB7D27" w:rsidRPr="00061D6A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91464D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 xml:space="preserve">Mono Ethylene glycol (MEG polyester grade) iis20C10 </w:t>
    </w:r>
    <w:r w:rsidR="00763888"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63888">
      <w:rPr>
        <w:rFonts w:ascii="Arial" w:hAnsi="Arial" w:cs="Arial"/>
      </w:rPr>
      <w:tab/>
    </w:r>
    <w:r w:rsidRPr="001374F1">
      <w:rPr>
        <w:rFonts w:ascii="Arial" w:hAnsi="Arial" w:cs="Arial"/>
        <w:szCs w:val="24"/>
      </w:rPr>
      <w:t>lab code:</w:t>
    </w:r>
  </w:p>
  <w:p w14:paraId="6D1EDFE0" w14:textId="73C15F0B" w:rsidR="00F1287D" w:rsidRDefault="00DD092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2EA082FC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5ECDBBF6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5EEAE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1D6A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Starink, Ronald (Spijkenisse)</cp:lastModifiedBy>
  <cp:revision>7</cp:revision>
  <cp:lastPrinted>2017-05-15T12:42:00Z</cp:lastPrinted>
  <dcterms:created xsi:type="dcterms:W3CDTF">2020-08-27T05:51:00Z</dcterms:created>
  <dcterms:modified xsi:type="dcterms:W3CDTF">2020-10-07T13:05:00Z</dcterms:modified>
</cp:coreProperties>
</file>